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459" w:tblpY="95"/>
        <w:tblW w:w="0" w:type="auto"/>
        <w:tblLook w:val="04A0"/>
      </w:tblPr>
      <w:tblGrid>
        <w:gridCol w:w="2576"/>
      </w:tblGrid>
      <w:tr w:rsidR="00176D9D" w:rsidTr="00E479D3">
        <w:trPr>
          <w:trHeight w:val="2813"/>
        </w:trPr>
        <w:tc>
          <w:tcPr>
            <w:tcW w:w="2576" w:type="dxa"/>
          </w:tcPr>
          <w:p w:rsidR="00176D9D" w:rsidRPr="00176D9D" w:rsidRDefault="00176D9D" w:rsidP="00176D9D">
            <w:pPr>
              <w:jc w:val="center"/>
              <w:rPr>
                <w:rFonts w:ascii="Comic Sans MS" w:hAnsi="Comic Sans MS"/>
                <w:noProof/>
                <w:color w:val="00FF00"/>
                <w:lang w:eastAsia="en-GB"/>
              </w:rPr>
            </w:pPr>
            <w:r w:rsidRPr="00176D9D">
              <w:rPr>
                <w:rFonts w:ascii="Comic Sans MS" w:hAnsi="Comic Sans MS" w:cs="Arial"/>
                <w:color w:val="00FF00"/>
                <w:sz w:val="28"/>
                <w:szCs w:val="28"/>
              </w:rPr>
              <w:t xml:space="preserve">Our theme this half term is: </w:t>
            </w:r>
          </w:p>
          <w:p w:rsidR="00176D9D" w:rsidRDefault="00176D9D" w:rsidP="00176D9D">
            <w:pPr>
              <w:jc w:val="center"/>
              <w:rPr>
                <w:rFonts w:ascii="Comic Sans MS" w:hAnsi="Comic Sans MS"/>
                <w:b/>
                <w:noProof/>
                <w:color w:val="00FF00"/>
                <w:sz w:val="32"/>
                <w:szCs w:val="32"/>
                <w:u w:val="single"/>
                <w:lang w:eastAsia="en-GB"/>
              </w:rPr>
            </w:pPr>
            <w:r w:rsidRPr="00176D9D">
              <w:rPr>
                <w:rFonts w:ascii="Comic Sans MS" w:hAnsi="Comic Sans MS"/>
                <w:b/>
                <w:noProof/>
                <w:color w:val="00FF00"/>
                <w:sz w:val="32"/>
                <w:szCs w:val="32"/>
                <w:u w:val="single"/>
                <w:lang w:eastAsia="en-GB"/>
              </w:rPr>
              <w:t>Mini-beasts</w:t>
            </w:r>
          </w:p>
          <w:p w:rsidR="00176D9D" w:rsidRPr="00176D9D" w:rsidRDefault="00176D9D" w:rsidP="00176D9D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952500" cy="716280"/>
                  <wp:effectExtent l="19050" t="0" r="0" b="0"/>
                  <wp:docPr id="3" name="Picture 2" descr="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page" w:tblpX="13111" w:tblpY="766"/>
        <w:tblW w:w="0" w:type="auto"/>
        <w:tblLook w:val="04A0"/>
      </w:tblPr>
      <w:tblGrid>
        <w:gridCol w:w="2946"/>
      </w:tblGrid>
      <w:tr w:rsidR="00176D9D" w:rsidTr="00E479D3">
        <w:trPr>
          <w:trHeight w:val="2076"/>
        </w:trPr>
        <w:tc>
          <w:tcPr>
            <w:tcW w:w="2658" w:type="dxa"/>
          </w:tcPr>
          <w:p w:rsidR="00176D9D" w:rsidRDefault="00176D9D" w:rsidP="00E479D3">
            <w:pPr>
              <w:jc w:val="center"/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color w:val="0000FF"/>
                <w:sz w:val="40"/>
                <w:szCs w:val="40"/>
              </w:rPr>
              <w:t xml:space="preserve">Our whole school focus is on </w:t>
            </w:r>
            <w:r w:rsidRPr="00152357">
              <w:rPr>
                <w:rFonts w:ascii="Arial" w:hAnsi="Arial" w:cs="Arial"/>
                <w:b/>
                <w:color w:val="0000FF"/>
                <w:sz w:val="40"/>
                <w:szCs w:val="40"/>
                <w:u w:val="single"/>
              </w:rPr>
              <w:t>TALK</w:t>
            </w:r>
          </w:p>
          <w:p w:rsidR="00176D9D" w:rsidRPr="00152357" w:rsidRDefault="00176D9D" w:rsidP="00E479D3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40"/>
                <w:szCs w:val="40"/>
                <w:lang w:val="en-US"/>
              </w:rPr>
              <w:drawing>
                <wp:inline distT="0" distB="0" distL="0" distR="0">
                  <wp:extent cx="1704975" cy="857250"/>
                  <wp:effectExtent l="19050" t="0" r="9525" b="0"/>
                  <wp:docPr id="5" name="Picture 3" descr="C:\Users\00CSmith\AppData\Local\Microsoft\Windows\Temporary Internet Files\Content.IE5\3VOT9909\Talk_WAl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0CSmith\AppData\Local\Microsoft\Windows\Temporary Internet Files\Content.IE5\3VOT9909\Talk_WAl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9D" w:rsidRDefault="00176D9D" w:rsidP="00E479D3"/>
        </w:tc>
      </w:tr>
    </w:tbl>
    <w:p w:rsidR="00176D9D" w:rsidRDefault="00176D9D" w:rsidP="00176D9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121285</wp:posOffset>
            </wp:positionV>
            <wp:extent cx="5362575" cy="1076325"/>
            <wp:effectExtent l="19050" t="0" r="9525" b="0"/>
            <wp:wrapNone/>
            <wp:docPr id="1" name="Picture 9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8"/>
      </w:tblGrid>
      <w:tr w:rsidR="00176D9D" w:rsidRPr="009537D9" w:rsidTr="00E479D3">
        <w:trPr>
          <w:trHeight w:val="8497"/>
        </w:trPr>
        <w:tc>
          <w:tcPr>
            <w:tcW w:w="8648" w:type="dxa"/>
          </w:tcPr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This half term we plan to have a focus on the following areas: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Prime Areas of Learning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Personal, social and emotional development</w:t>
            </w:r>
          </w:p>
          <w:p w:rsidR="00176D9D" w:rsidRDefault="00C75054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Taking 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account of one another’s ideas about how to </w:t>
            </w:r>
            <w:proofErr w:type="gramStart"/>
            <w:r w:rsidR="009629F4"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organize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an</w:t>
            </w:r>
            <w:proofErr w:type="gramEnd"/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activity.</w:t>
            </w:r>
          </w:p>
          <w:p w:rsidR="00C75054" w:rsidRPr="00CE466E" w:rsidRDefault="00C75054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Identifying when help is needed. Being aware of the feelings of others.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Communication and Language</w:t>
            </w:r>
          </w:p>
          <w:p w:rsidR="00C75054" w:rsidRPr="00C75054" w:rsidRDefault="00C75054" w:rsidP="00C75054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L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isten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ing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attentively in a range of situations.</w:t>
            </w:r>
            <w:r w:rsidRPr="00C75054">
              <w:rPr>
                <w:rFonts w:ascii="Arial" w:eastAsia="Arial" w:hAnsi="Arial" w:cs="Arial"/>
                <w:spacing w:val="-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R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espond</w:t>
            </w:r>
            <w:r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ing</w:t>
            </w:r>
            <w:r w:rsidRPr="00C75054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to ideas expressed by others in conversation or discussion.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Physical Development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Understanding why we need a range of healthy foods. </w:t>
            </w:r>
            <w:r w:rsidR="00577ED9" w:rsidRPr="00577ED9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577ED9" w:rsidRPr="00577ED9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Trave</w:t>
            </w:r>
            <w:r w:rsidR="00577ED9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ling </w:t>
            </w:r>
            <w:r w:rsidR="00577ED9" w:rsidRPr="00577ED9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with confidence and skill around, under, over and through balancing and climbing equipment.</w:t>
            </w:r>
          </w:p>
          <w:p w:rsidR="00176D9D" w:rsidRDefault="00176D9D" w:rsidP="00E479D3">
            <w:pPr>
              <w:pStyle w:val="NoSpacing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0C50D3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Specific Areas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Literacy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Linking sounds to letters (Phase 3</w:t>
            </w:r>
            <w:r w:rsidR="009629F4">
              <w:rPr>
                <w:rFonts w:ascii="Arial" w:hAnsi="Arial" w:cs="Arial"/>
                <w:color w:val="00B050"/>
                <w:sz w:val="24"/>
                <w:szCs w:val="24"/>
              </w:rPr>
              <w:t xml:space="preserve"> and 4</w:t>
            </w: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 xml:space="preserve"> Letters and Sounds,) blending and segmenting simple words to read and write simple sentences, developing sight vocabulary of ‘tricky words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’ and common </w:t>
            </w:r>
            <w:proofErr w:type="spellStart"/>
            <w:r>
              <w:rPr>
                <w:rFonts w:ascii="Arial" w:hAnsi="Arial" w:cs="Arial"/>
                <w:color w:val="00B050"/>
                <w:sz w:val="24"/>
                <w:szCs w:val="24"/>
              </w:rPr>
              <w:t>decodeable</w:t>
            </w:r>
            <w:proofErr w:type="spellEnd"/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words. (Please see the front of your child’s reading diary for a list of them.)</w:t>
            </w:r>
            <w:r w:rsidR="00577ED9">
              <w:rPr>
                <w:rFonts w:ascii="Arial" w:hAnsi="Arial" w:cs="Arial"/>
                <w:color w:val="00B050"/>
                <w:sz w:val="24"/>
                <w:szCs w:val="24"/>
              </w:rPr>
              <w:t xml:space="preserve"> Tackling a wider range of text with confidence.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Mathematics</w:t>
            </w:r>
          </w:p>
          <w:p w:rsidR="00577ED9" w:rsidRPr="00577ED9" w:rsidRDefault="00176D9D" w:rsidP="00577ED9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Counting</w:t>
            </w:r>
            <w:r w:rsidR="00577ED9">
              <w:rPr>
                <w:rFonts w:ascii="Arial" w:hAnsi="Arial" w:cs="Arial"/>
                <w:color w:val="00B050"/>
                <w:sz w:val="24"/>
                <w:szCs w:val="24"/>
              </w:rPr>
              <w:t xml:space="preserve"> accurately to 20 and beyond, </w:t>
            </w:r>
            <w:r w:rsidR="00577ED9" w:rsidRPr="00577ED9">
              <w:rPr>
                <w:rFonts w:ascii="Arial" w:eastAsia="Arial" w:hAnsi="Arial" w:cs="Arial"/>
                <w:color w:val="00B050"/>
                <w:sz w:val="24"/>
                <w:szCs w:val="24"/>
                <w:lang w:val="en-US"/>
              </w:rPr>
              <w:t>adding</w:t>
            </w:r>
            <w:r w:rsidR="00577ED9" w:rsidRPr="00577ED9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and subtracting two single-digit numbers and counting on or back on a number line to find the answer. Solving problems, including doubling, halving and sharing.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Understanding the World</w:t>
            </w:r>
          </w:p>
          <w:p w:rsidR="00A3090D" w:rsidRDefault="00176D9D" w:rsidP="00E479D3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Developing ICT skills using Learn Pads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.</w:t>
            </w:r>
            <w:r w:rsidR="00A3090D" w:rsidRPr="00A3090D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 xml:space="preserve"> Noticing</w:t>
            </w:r>
            <w:r w:rsidR="00A3090D" w:rsidRPr="00A3090D">
              <w:rPr>
                <w:rFonts w:ascii="Arial" w:eastAsia="Arial" w:hAnsi="Arial" w:cs="Arial"/>
                <w:color w:val="00B050"/>
                <w:spacing w:val="39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-3"/>
                <w:w w:val="112"/>
                <w:sz w:val="24"/>
                <w:szCs w:val="24"/>
              </w:rPr>
              <w:t>s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2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2"/>
                <w:sz w:val="24"/>
                <w:szCs w:val="24"/>
              </w:rPr>
              <w:t>m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2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2"/>
                <w:sz w:val="24"/>
                <w:szCs w:val="24"/>
              </w:rPr>
              <w:t>l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2"/>
                <w:sz w:val="24"/>
                <w:szCs w:val="24"/>
              </w:rPr>
              <w:t>a</w:t>
            </w:r>
            <w:r w:rsidR="00A3090D" w:rsidRPr="00A3090D">
              <w:rPr>
                <w:rFonts w:ascii="Arial" w:eastAsia="Arial" w:hAnsi="Arial" w:cs="Arial"/>
                <w:color w:val="00B050"/>
                <w:w w:val="112"/>
                <w:sz w:val="24"/>
                <w:szCs w:val="24"/>
              </w:rPr>
              <w:t>r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2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2"/>
                <w:sz w:val="24"/>
                <w:szCs w:val="24"/>
              </w:rPr>
              <w:t>t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2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2"/>
                <w:sz w:val="24"/>
                <w:szCs w:val="24"/>
              </w:rPr>
              <w:t>e</w:t>
            </w:r>
            <w:r w:rsidR="00A3090D" w:rsidRPr="00A3090D">
              <w:rPr>
                <w:rFonts w:ascii="Arial" w:eastAsia="Arial" w:hAnsi="Arial" w:cs="Arial"/>
                <w:color w:val="00B050"/>
                <w:w w:val="112"/>
                <w:sz w:val="24"/>
                <w:szCs w:val="24"/>
              </w:rPr>
              <w:t>s</w:t>
            </w:r>
            <w:r w:rsidR="00A3090D" w:rsidRPr="00A3090D">
              <w:rPr>
                <w:rFonts w:ascii="Arial" w:eastAsia="Arial" w:hAnsi="Arial" w:cs="Arial"/>
                <w:color w:val="00B050"/>
                <w:spacing w:val="-7"/>
                <w:w w:val="112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sz w:val="24"/>
                <w:szCs w:val="24"/>
              </w:rPr>
              <w:t>a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nd</w:t>
            </w:r>
            <w:r w:rsidR="00A3090D" w:rsidRPr="00A3090D">
              <w:rPr>
                <w:rFonts w:ascii="Arial" w:eastAsia="Arial" w:hAnsi="Arial" w:cs="Arial"/>
                <w:color w:val="00B050"/>
                <w:spacing w:val="17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w w:val="109"/>
                <w:sz w:val="24"/>
                <w:szCs w:val="24"/>
              </w:rPr>
              <w:t>d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09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09"/>
                <w:sz w:val="24"/>
                <w:szCs w:val="24"/>
              </w:rPr>
              <w:t>ffe</w:t>
            </w:r>
            <w:r w:rsidR="00A3090D" w:rsidRPr="00A3090D">
              <w:rPr>
                <w:rFonts w:ascii="Arial" w:eastAsia="Arial" w:hAnsi="Arial" w:cs="Arial"/>
                <w:color w:val="00B050"/>
                <w:w w:val="109"/>
                <w:sz w:val="24"/>
                <w:szCs w:val="24"/>
              </w:rPr>
              <w:t>r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09"/>
                <w:sz w:val="24"/>
                <w:szCs w:val="24"/>
              </w:rPr>
              <w:t>e</w:t>
            </w:r>
            <w:r w:rsidR="00A3090D" w:rsidRPr="00A3090D">
              <w:rPr>
                <w:rFonts w:ascii="Arial" w:eastAsia="Arial" w:hAnsi="Arial" w:cs="Arial"/>
                <w:color w:val="00B050"/>
                <w:w w:val="109"/>
                <w:sz w:val="24"/>
                <w:szCs w:val="24"/>
              </w:rPr>
              <w:t>n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09"/>
                <w:sz w:val="24"/>
                <w:szCs w:val="24"/>
              </w:rPr>
              <w:t>ce</w:t>
            </w:r>
            <w:r w:rsidR="00A3090D" w:rsidRPr="00A3090D">
              <w:rPr>
                <w:rFonts w:ascii="Arial" w:eastAsia="Arial" w:hAnsi="Arial" w:cs="Arial"/>
                <w:color w:val="00B050"/>
                <w:w w:val="109"/>
                <w:sz w:val="24"/>
                <w:szCs w:val="24"/>
              </w:rPr>
              <w:t>s</w:t>
            </w:r>
            <w:r w:rsidR="00A3090D" w:rsidRPr="00A3090D">
              <w:rPr>
                <w:rFonts w:ascii="Arial" w:eastAsia="Arial" w:hAnsi="Arial" w:cs="Arial"/>
                <w:color w:val="00B050"/>
                <w:spacing w:val="-5"/>
                <w:w w:val="109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25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w w:val="110"/>
                <w:sz w:val="24"/>
                <w:szCs w:val="24"/>
              </w:rPr>
              <w:t>n r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0"/>
                <w:sz w:val="24"/>
                <w:szCs w:val="24"/>
              </w:rPr>
              <w:t>e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0"/>
                <w:sz w:val="24"/>
                <w:szCs w:val="24"/>
              </w:rPr>
              <w:t>l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w w:val="110"/>
                <w:sz w:val="24"/>
                <w:szCs w:val="24"/>
              </w:rPr>
              <w:t>at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w w:val="110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w w:val="110"/>
                <w:sz w:val="24"/>
                <w:szCs w:val="24"/>
              </w:rPr>
              <w:t>on</w:t>
            </w:r>
            <w:r w:rsidR="00A3090D" w:rsidRPr="00A3090D">
              <w:rPr>
                <w:rFonts w:ascii="Arial" w:eastAsia="Arial" w:hAnsi="Arial" w:cs="Arial"/>
                <w:color w:val="00B050"/>
                <w:spacing w:val="-4"/>
                <w:w w:val="110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sz w:val="24"/>
                <w:szCs w:val="24"/>
              </w:rPr>
              <w:t>t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o</w:t>
            </w:r>
            <w:r w:rsidR="00A3090D" w:rsidRPr="00A3090D">
              <w:rPr>
                <w:rFonts w:ascii="Arial" w:eastAsia="Arial" w:hAnsi="Arial" w:cs="Arial"/>
                <w:color w:val="00B050"/>
                <w:spacing w:val="19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-2"/>
                <w:sz w:val="24"/>
                <w:szCs w:val="24"/>
              </w:rPr>
              <w:t>p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sz w:val="24"/>
                <w:szCs w:val="24"/>
              </w:rPr>
              <w:t>l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sz w:val="24"/>
                <w:szCs w:val="24"/>
              </w:rPr>
              <w:t>aces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,</w:t>
            </w:r>
            <w:r w:rsidR="00A3090D" w:rsidRPr="00A3090D">
              <w:rPr>
                <w:rFonts w:ascii="Arial" w:eastAsia="Arial" w:hAnsi="Arial" w:cs="Arial"/>
                <w:color w:val="00B050"/>
                <w:spacing w:val="35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ob</w:t>
            </w:r>
            <w:r w:rsidR="00A3090D" w:rsidRPr="00A3090D">
              <w:rPr>
                <w:rFonts w:ascii="Arial" w:eastAsia="Arial" w:hAnsi="Arial" w:cs="Arial"/>
                <w:color w:val="00B050"/>
                <w:spacing w:val="-2"/>
                <w:sz w:val="24"/>
                <w:szCs w:val="24"/>
              </w:rPr>
              <w:t>j</w:t>
            </w:r>
            <w:r w:rsidR="00A3090D" w:rsidRPr="00A3090D">
              <w:rPr>
                <w:rFonts w:ascii="Arial" w:eastAsia="Arial" w:hAnsi="Arial" w:cs="Arial"/>
                <w:color w:val="00B050"/>
                <w:spacing w:val="-1"/>
                <w:sz w:val="24"/>
                <w:szCs w:val="24"/>
              </w:rPr>
              <w:t>ects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, </w:t>
            </w:r>
            <w:r w:rsidR="00A3090D" w:rsidRPr="00A3090D">
              <w:rPr>
                <w:rFonts w:ascii="Arial" w:eastAsia="Arial" w:hAnsi="Arial" w:cs="Arial"/>
                <w:color w:val="00B050"/>
                <w:spacing w:val="9"/>
                <w:sz w:val="24"/>
                <w:szCs w:val="24"/>
              </w:rPr>
              <w:t>materials</w:t>
            </w:r>
            <w:r w:rsidR="00A3090D" w:rsidRPr="00A3090D">
              <w:rPr>
                <w:rFonts w:ascii="Arial" w:eastAsia="Arial" w:hAnsi="Arial" w:cs="Arial"/>
                <w:color w:val="00B050"/>
                <w:spacing w:val="-2"/>
                <w:w w:val="108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>a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nd</w:t>
            </w:r>
            <w:r w:rsidR="00A3090D" w:rsidRPr="00A3090D">
              <w:rPr>
                <w:rFonts w:ascii="Arial" w:eastAsia="Arial" w:hAnsi="Arial" w:cs="Arial"/>
                <w:color w:val="00B050"/>
                <w:spacing w:val="17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sz w:val="24"/>
                <w:szCs w:val="24"/>
              </w:rPr>
              <w:t>li</w:t>
            </w:r>
            <w:r w:rsidR="00A3090D" w:rsidRPr="00A3090D">
              <w:rPr>
                <w:rFonts w:ascii="Arial" w:eastAsia="Arial" w:hAnsi="Arial" w:cs="Arial"/>
                <w:color w:val="00B050"/>
                <w:spacing w:val="-3"/>
                <w:sz w:val="24"/>
                <w:szCs w:val="24"/>
              </w:rPr>
              <w:t>v</w:t>
            </w:r>
            <w:r w:rsidR="00A3090D" w:rsidRPr="00A3090D">
              <w:rPr>
                <w:rFonts w:ascii="Arial" w:eastAsia="Arial" w:hAnsi="Arial" w:cs="Arial"/>
                <w:color w:val="00B050"/>
                <w:spacing w:val="1"/>
                <w:sz w:val="24"/>
                <w:szCs w:val="24"/>
              </w:rPr>
              <w:t>i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 xml:space="preserve">ng </w:t>
            </w:r>
            <w:r w:rsidR="00A3090D" w:rsidRPr="00A3090D">
              <w:rPr>
                <w:rFonts w:ascii="Arial" w:eastAsia="Arial" w:hAnsi="Arial" w:cs="Arial"/>
                <w:color w:val="00B050"/>
                <w:spacing w:val="8"/>
                <w:sz w:val="24"/>
                <w:szCs w:val="24"/>
              </w:rPr>
              <w:t>things</w:t>
            </w:r>
            <w:r w:rsidR="00A3090D" w:rsidRPr="00A3090D">
              <w:rPr>
                <w:rFonts w:ascii="Arial" w:eastAsia="Arial" w:hAnsi="Arial" w:cs="Arial"/>
                <w:color w:val="00B050"/>
                <w:sz w:val="24"/>
                <w:szCs w:val="24"/>
              </w:rPr>
              <w:t>.</w:t>
            </w:r>
          </w:p>
          <w:p w:rsidR="00176D9D" w:rsidRPr="000C50D3" w:rsidRDefault="00176D9D" w:rsidP="00E479D3">
            <w:pPr>
              <w:pStyle w:val="NoSpacing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</w:pPr>
            <w:r w:rsidRPr="000C50D3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Expressive Arts and Design</w:t>
            </w:r>
            <w:r w:rsidR="00A3090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</w:p>
          <w:p w:rsidR="00176D9D" w:rsidRPr="000C50D3" w:rsidRDefault="00176D9D" w:rsidP="00A3090D">
            <w:pPr>
              <w:pStyle w:val="NoSpacing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C50D3">
              <w:rPr>
                <w:rFonts w:ascii="Arial" w:hAnsi="Arial" w:cs="Arial"/>
                <w:color w:val="00B050"/>
                <w:sz w:val="24"/>
                <w:szCs w:val="24"/>
              </w:rPr>
              <w:t>Building up a repertoire of songs, exploring the sounds different musical instruments make,</w:t>
            </w:r>
            <w:r w:rsidR="00A3090D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A3090D" w:rsidRPr="00A3090D">
              <w:rPr>
                <w:rFonts w:ascii="Arial" w:eastAsia="Arial" w:hAnsi="Arial" w:cs="Arial"/>
                <w:spacing w:val="-1"/>
                <w:sz w:val="17"/>
                <w:szCs w:val="17"/>
                <w:lang w:val="en-US"/>
              </w:rPr>
              <w:t xml:space="preserve"> </w:t>
            </w:r>
            <w:r w:rsidR="00A3090D" w:rsidRP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us</w:t>
            </w:r>
            <w:r w:rsid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ing</w:t>
            </w:r>
            <w:r w:rsidR="00A3090D" w:rsidRP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and explor</w:t>
            </w:r>
            <w:r w:rsid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ing</w:t>
            </w:r>
            <w:r w:rsidR="00A3090D" w:rsidRP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 xml:space="preserve">  a variety of materials, tools and techniques, experimenting with </w:t>
            </w:r>
            <w:proofErr w:type="spellStart"/>
            <w:r w:rsidR="00A3090D" w:rsidRP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colour</w:t>
            </w:r>
            <w:proofErr w:type="spellEnd"/>
            <w:r w:rsidR="00A3090D" w:rsidRP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, design,  texture,  form and function</w:t>
            </w:r>
            <w:r w:rsidR="00A3090D">
              <w:rPr>
                <w:rFonts w:ascii="Arial" w:hAnsi="Arial" w:cs="Arial"/>
                <w:color w:val="00B050"/>
                <w:sz w:val="24"/>
                <w:szCs w:val="24"/>
                <w:lang w:val="en-US"/>
              </w:rPr>
              <w:t>.</w:t>
            </w:r>
          </w:p>
        </w:tc>
      </w:tr>
    </w:tbl>
    <w:p w:rsidR="00176D9D" w:rsidRDefault="00176D9D" w:rsidP="00176D9D"/>
    <w:tbl>
      <w:tblPr>
        <w:tblpPr w:leftFromText="180" w:rightFromText="180" w:vertAnchor="text" w:tblpX="-1133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6"/>
      </w:tblGrid>
      <w:tr w:rsidR="00176D9D" w:rsidTr="00E479D3">
        <w:trPr>
          <w:trHeight w:val="3109"/>
        </w:trPr>
        <w:tc>
          <w:tcPr>
            <w:tcW w:w="3436" w:type="dxa"/>
          </w:tcPr>
          <w:p w:rsidR="00176D9D" w:rsidRPr="002D5475" w:rsidRDefault="00176D9D" w:rsidP="00E479D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D5475">
              <w:rPr>
                <w:rFonts w:ascii="Arial" w:hAnsi="Arial" w:cs="Arial"/>
                <w:b/>
                <w:color w:val="0000FF"/>
                <w:sz w:val="20"/>
                <w:szCs w:val="20"/>
              </w:rPr>
              <w:t>We plan to change reading books on Monday and Thursday. You are welcome to change your child’s book more frequently if you want to.</w:t>
            </w:r>
          </w:p>
          <w:p w:rsidR="00176D9D" w:rsidRPr="002F14B7" w:rsidRDefault="00C75054" w:rsidP="00E479D3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888149" cy="1111676"/>
                  <wp:effectExtent l="19050" t="0" r="7201" b="0"/>
                  <wp:docPr id="4" name="Picture 3" descr="Curious%20kids%20guide%20insects%20and%20bu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ious%20kids%20guide%20insects%20and%20bug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52" cy="111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page" w:tblpX="298" w:tblpY="6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0"/>
      </w:tblGrid>
      <w:tr w:rsidR="00176D9D" w:rsidTr="00E479D3">
        <w:trPr>
          <w:trHeight w:val="2177"/>
        </w:trPr>
        <w:tc>
          <w:tcPr>
            <w:tcW w:w="3400" w:type="dxa"/>
          </w:tcPr>
          <w:p w:rsidR="00176D9D" w:rsidRDefault="00176D9D" w:rsidP="00E479D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</w:pPr>
            <w:r w:rsidRPr="00CE466E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Skill for Success</w:t>
            </w:r>
          </w:p>
          <w:p w:rsidR="009629F4" w:rsidRPr="009629F4" w:rsidRDefault="009629F4" w:rsidP="00E479D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36"/>
                <w:szCs w:val="36"/>
              </w:rPr>
              <w:t>Co</w:t>
            </w:r>
            <w:r w:rsidR="00EB23FC">
              <w:rPr>
                <w:rFonts w:ascii="Arial" w:hAnsi="Arial" w:cs="Arial"/>
                <w:color w:val="FF0000"/>
                <w:sz w:val="36"/>
                <w:szCs w:val="36"/>
              </w:rPr>
              <w:t>-</w:t>
            </w:r>
            <w:r>
              <w:rPr>
                <w:rFonts w:ascii="Arial" w:hAnsi="Arial" w:cs="Arial"/>
                <w:color w:val="FF0000"/>
                <w:sz w:val="36"/>
                <w:szCs w:val="36"/>
              </w:rPr>
              <w:t>operation</w:t>
            </w:r>
          </w:p>
          <w:p w:rsidR="00176D9D" w:rsidRDefault="00176D9D" w:rsidP="00E479D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176D9D" w:rsidRPr="002F14B7" w:rsidRDefault="00176D9D" w:rsidP="00E479D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13003" w:tblpY="2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176D9D" w:rsidTr="00E479D3">
        <w:trPr>
          <w:trHeight w:val="3270"/>
        </w:trPr>
        <w:tc>
          <w:tcPr>
            <w:tcW w:w="3375" w:type="dxa"/>
          </w:tcPr>
          <w:p w:rsidR="00176D9D" w:rsidRPr="00C75054" w:rsidRDefault="00176D9D" w:rsidP="00E479D3">
            <w:pPr>
              <w:pStyle w:val="NoSpacing"/>
              <w:rPr>
                <w:b/>
                <w:color w:val="FF3300"/>
                <w:sz w:val="20"/>
                <w:szCs w:val="20"/>
                <w:u w:val="single"/>
              </w:rPr>
            </w:pPr>
            <w:r w:rsidRPr="00C75054">
              <w:rPr>
                <w:b/>
                <w:color w:val="FF3300"/>
                <w:sz w:val="20"/>
                <w:szCs w:val="20"/>
                <w:u w:val="single"/>
              </w:rPr>
              <w:t>Dates for your diary:</w:t>
            </w:r>
          </w:p>
          <w:p w:rsidR="00176D9D" w:rsidRPr="00C75054" w:rsidRDefault="00C7505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 w:rsidRPr="00C75054">
              <w:rPr>
                <w:b/>
                <w:color w:val="FF3300"/>
                <w:sz w:val="20"/>
                <w:szCs w:val="20"/>
              </w:rPr>
              <w:t>18/4 – Parents</w:t>
            </w:r>
            <w:r w:rsidR="00EB23FC">
              <w:rPr>
                <w:b/>
                <w:color w:val="FF3300"/>
                <w:sz w:val="20"/>
                <w:szCs w:val="20"/>
              </w:rPr>
              <w:t>’</w:t>
            </w:r>
            <w:r w:rsidRPr="00C75054">
              <w:rPr>
                <w:b/>
                <w:color w:val="FF3300"/>
                <w:sz w:val="20"/>
                <w:szCs w:val="20"/>
              </w:rPr>
              <w:t xml:space="preserve"> evening 3.30pm onwards</w:t>
            </w:r>
          </w:p>
          <w:p w:rsidR="00C75054" w:rsidRDefault="00C7505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 w:rsidRPr="00C75054">
              <w:rPr>
                <w:b/>
                <w:color w:val="FF3300"/>
                <w:sz w:val="20"/>
                <w:szCs w:val="20"/>
              </w:rPr>
              <w:t>19/4 Parents</w:t>
            </w:r>
            <w:r w:rsidR="00EB23FC">
              <w:rPr>
                <w:b/>
                <w:color w:val="FF3300"/>
                <w:sz w:val="20"/>
                <w:szCs w:val="20"/>
              </w:rPr>
              <w:t>’</w:t>
            </w:r>
            <w:r w:rsidRPr="00C75054">
              <w:rPr>
                <w:b/>
                <w:color w:val="FF3300"/>
                <w:sz w:val="20"/>
                <w:szCs w:val="20"/>
              </w:rPr>
              <w:t xml:space="preserve"> evening 5.00pm onwards</w:t>
            </w:r>
          </w:p>
          <w:p w:rsidR="00DE7EB3" w:rsidRPr="00C75054" w:rsidRDefault="00DE7EB3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20/5 Class 2and 3 Family Assembly</w:t>
            </w:r>
          </w:p>
          <w:p w:rsidR="00C75054" w:rsidRPr="00C75054" w:rsidRDefault="009629F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>
              <w:rPr>
                <w:b/>
                <w:color w:val="FF3300"/>
                <w:sz w:val="20"/>
                <w:szCs w:val="20"/>
              </w:rPr>
              <w:t>17</w:t>
            </w:r>
            <w:r w:rsidR="00C75054" w:rsidRPr="00C75054">
              <w:rPr>
                <w:b/>
                <w:color w:val="FF3300"/>
                <w:sz w:val="20"/>
                <w:szCs w:val="20"/>
              </w:rPr>
              <w:t xml:space="preserve">/6 </w:t>
            </w:r>
            <w:r w:rsidR="00C75054" w:rsidRPr="00C75054">
              <w:rPr>
                <w:b/>
                <w:color w:val="FF3300"/>
                <w:sz w:val="20"/>
                <w:szCs w:val="20"/>
                <w:u w:val="single"/>
              </w:rPr>
              <w:t xml:space="preserve"> </w:t>
            </w:r>
            <w:r w:rsidR="00C75054" w:rsidRPr="00C75054">
              <w:rPr>
                <w:b/>
                <w:color w:val="FF3300"/>
                <w:sz w:val="20"/>
                <w:szCs w:val="20"/>
              </w:rPr>
              <w:t xml:space="preserve">Class 2 and 3 trip to </w:t>
            </w:r>
            <w:proofErr w:type="spellStart"/>
            <w:r w:rsidR="00C75054" w:rsidRPr="00C75054">
              <w:rPr>
                <w:b/>
                <w:color w:val="FF3300"/>
                <w:sz w:val="20"/>
                <w:szCs w:val="20"/>
              </w:rPr>
              <w:t>Wembury</w:t>
            </w:r>
            <w:proofErr w:type="spellEnd"/>
            <w:r>
              <w:rPr>
                <w:b/>
                <w:color w:val="FF3300"/>
                <w:sz w:val="20"/>
                <w:szCs w:val="20"/>
              </w:rPr>
              <w:t xml:space="preserve"> – details to follow</w:t>
            </w:r>
          </w:p>
          <w:p w:rsidR="00C75054" w:rsidRPr="00C75054" w:rsidRDefault="00C7505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 w:rsidRPr="00C75054">
              <w:rPr>
                <w:b/>
                <w:color w:val="FF3300"/>
                <w:sz w:val="20"/>
                <w:szCs w:val="20"/>
              </w:rPr>
              <w:t>20/6</w:t>
            </w:r>
            <w:r w:rsidR="009629F4">
              <w:rPr>
                <w:b/>
                <w:color w:val="FF3300"/>
                <w:sz w:val="20"/>
                <w:szCs w:val="20"/>
              </w:rPr>
              <w:t xml:space="preserve"> TBC</w:t>
            </w:r>
            <w:r w:rsidRPr="00C75054">
              <w:rPr>
                <w:b/>
                <w:color w:val="FF3300"/>
                <w:sz w:val="20"/>
                <w:szCs w:val="20"/>
              </w:rPr>
              <w:t xml:space="preserve"> Sports Morning</w:t>
            </w:r>
          </w:p>
          <w:p w:rsidR="00C75054" w:rsidRPr="00C75054" w:rsidRDefault="00C7505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 w:rsidRPr="00C75054">
              <w:rPr>
                <w:b/>
                <w:color w:val="FF3300"/>
                <w:sz w:val="20"/>
                <w:szCs w:val="20"/>
              </w:rPr>
              <w:t>27/6 ‘Moving on up’ day – details to follow</w:t>
            </w:r>
          </w:p>
          <w:p w:rsidR="00C75054" w:rsidRPr="00C75054" w:rsidRDefault="00C75054" w:rsidP="00E479D3">
            <w:pPr>
              <w:pStyle w:val="NoSpacing"/>
              <w:rPr>
                <w:b/>
                <w:color w:val="FF3300"/>
                <w:sz w:val="20"/>
                <w:szCs w:val="20"/>
              </w:rPr>
            </w:pPr>
            <w:r w:rsidRPr="00C75054">
              <w:rPr>
                <w:b/>
                <w:color w:val="FF3300"/>
                <w:sz w:val="20"/>
                <w:szCs w:val="20"/>
              </w:rPr>
              <w:t>18/7 End of year assembly</w:t>
            </w:r>
            <w:r w:rsidR="00EB23FC">
              <w:rPr>
                <w:b/>
                <w:color w:val="FF3300"/>
                <w:sz w:val="20"/>
                <w:szCs w:val="20"/>
              </w:rPr>
              <w:t xml:space="preserve"> (tbc)</w:t>
            </w:r>
          </w:p>
          <w:p w:rsidR="00176D9D" w:rsidRPr="00F5074F" w:rsidRDefault="00176D9D" w:rsidP="00176D9D">
            <w:pPr>
              <w:pStyle w:val="NoSpacing"/>
            </w:pPr>
          </w:p>
        </w:tc>
      </w:tr>
    </w:tbl>
    <w:p w:rsidR="00176D9D" w:rsidRPr="009537D9" w:rsidRDefault="00176D9D" w:rsidP="00176D9D"/>
    <w:tbl>
      <w:tblPr>
        <w:tblpPr w:leftFromText="180" w:rightFromText="180" w:vertAnchor="text" w:horzAnchor="page" w:tblpX="13033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9"/>
      </w:tblGrid>
      <w:tr w:rsidR="00176D9D" w:rsidTr="00E479D3">
        <w:trPr>
          <w:trHeight w:val="3959"/>
        </w:trPr>
        <w:tc>
          <w:tcPr>
            <w:tcW w:w="3229" w:type="dxa"/>
          </w:tcPr>
          <w:p w:rsidR="00176D9D" w:rsidRDefault="00176D9D" w:rsidP="00E479D3">
            <w:pPr>
              <w:rPr>
                <w:rFonts w:ascii="Arial" w:hAnsi="Arial" w:cs="Arial"/>
                <w:b/>
                <w:noProof/>
                <w:color w:val="F846AC"/>
                <w:lang w:eastAsia="en-GB"/>
              </w:rPr>
            </w:pPr>
            <w:r w:rsidRPr="00F5074F">
              <w:rPr>
                <w:rFonts w:ascii="Arial" w:hAnsi="Arial" w:cs="Arial"/>
                <w:b/>
                <w:color w:val="F846AC"/>
              </w:rPr>
              <w:t>Please feel free to come and talk to your child’s class teacher after school if you have any worries or concerns</w:t>
            </w:r>
            <w:r>
              <w:rPr>
                <w:rFonts w:ascii="Arial" w:hAnsi="Arial" w:cs="Arial"/>
                <w:b/>
                <w:color w:val="F846AC"/>
              </w:rPr>
              <w:t>. We have an open door policy!</w:t>
            </w:r>
          </w:p>
          <w:p w:rsidR="00176D9D" w:rsidRPr="00F5074F" w:rsidRDefault="00176D9D" w:rsidP="00E479D3">
            <w:pPr>
              <w:jc w:val="center"/>
              <w:rPr>
                <w:rFonts w:ascii="Arial" w:hAnsi="Arial" w:cs="Arial"/>
                <w:b/>
                <w:color w:val="F846AC"/>
              </w:rPr>
            </w:pPr>
            <w:r>
              <w:rPr>
                <w:rFonts w:ascii="Arial" w:hAnsi="Arial" w:cs="Arial"/>
                <w:b/>
                <w:noProof/>
                <w:color w:val="F846AC"/>
                <w:lang w:val="en-US"/>
              </w:rPr>
              <w:drawing>
                <wp:inline distT="0" distB="0" distL="0" distR="0">
                  <wp:extent cx="1266825" cy="1266825"/>
                  <wp:effectExtent l="19050" t="0" r="9525" b="0"/>
                  <wp:docPr id="6" name="Picture 5" descr="d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15" cy="12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D9D" w:rsidRDefault="00176D9D" w:rsidP="00176D9D"/>
    <w:p w:rsidR="00CB2CF2" w:rsidRDefault="00CB2CF2"/>
    <w:sectPr w:rsidR="00CB2CF2" w:rsidSect="00152357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6D9D"/>
    <w:rsid w:val="00176D9D"/>
    <w:rsid w:val="00196232"/>
    <w:rsid w:val="001D3722"/>
    <w:rsid w:val="00310446"/>
    <w:rsid w:val="00577ED9"/>
    <w:rsid w:val="009629F4"/>
    <w:rsid w:val="00A3090D"/>
    <w:rsid w:val="00B53DB2"/>
    <w:rsid w:val="00C75054"/>
    <w:rsid w:val="00CB2CF2"/>
    <w:rsid w:val="00DE7EB3"/>
    <w:rsid w:val="00E44527"/>
    <w:rsid w:val="00EB23FC"/>
    <w:rsid w:val="00F33B38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6D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tavistock-pri.devon.sch.uk/Images/Website%20image_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00CSmith</dc:creator>
  <cp:lastModifiedBy>00LSelbie</cp:lastModifiedBy>
  <cp:revision>2</cp:revision>
  <dcterms:created xsi:type="dcterms:W3CDTF">2016-04-14T07:23:00Z</dcterms:created>
  <dcterms:modified xsi:type="dcterms:W3CDTF">2016-04-14T07:23:00Z</dcterms:modified>
</cp:coreProperties>
</file>